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AB" w:rsidRDefault="00100A7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5703570</wp:posOffset>
            </wp:positionH>
            <wp:positionV relativeFrom="paragraph">
              <wp:posOffset>-575310</wp:posOffset>
            </wp:positionV>
            <wp:extent cx="982980" cy="982980"/>
            <wp:effectExtent l="0" t="0" r="0" b="0"/>
            <wp:wrapSquare wrapText="bothSides"/>
            <wp:docPr id="1" name="Picture 1" descr="C:\Users\Linda Pugsley\Documents\My Documents\Buxted PPG\BEH Dipspla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Linda Pugsley\Documents\My Documents\Buxted PPG\BEH Dipsplay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8"/>
          <w:szCs w:val="28"/>
        </w:rPr>
        <w:t xml:space="preserve">BUXTED, EAST HOATHLY &amp; HORAM PATIENT PARTICIPATION GROUP (PPG)                                                                    </w:t>
      </w:r>
    </w:p>
    <w:p w:rsidR="008678AB" w:rsidRDefault="008678AB">
      <w:pPr>
        <w:rPr>
          <w:rFonts w:ascii="Calibri" w:hAnsi="Calibri"/>
          <w:b/>
          <w:bCs/>
        </w:rPr>
      </w:pPr>
    </w:p>
    <w:p w:rsidR="008678AB" w:rsidRDefault="00100A78">
      <w:pPr>
        <w:jc w:val="center"/>
      </w:pPr>
      <w:r>
        <w:rPr>
          <w:rFonts w:ascii="Arial" w:hAnsi="Arial" w:cs="Arial"/>
          <w:b/>
          <w:color w:val="000000"/>
        </w:rPr>
        <w:t>Minutes of PPG meeting held on Thursday 23</w:t>
      </w:r>
      <w:r>
        <w:rPr>
          <w:rFonts w:ascii="Arial" w:hAnsi="Arial" w:cs="Arial"/>
          <w:b/>
          <w:color w:val="000000"/>
          <w:vertAlign w:val="superscript"/>
        </w:rPr>
        <w:t>rd</w:t>
      </w:r>
      <w:r>
        <w:rPr>
          <w:rFonts w:ascii="Arial" w:hAnsi="Arial" w:cs="Arial"/>
          <w:b/>
          <w:color w:val="000000"/>
        </w:rPr>
        <w:t xml:space="preserve"> September 2021</w:t>
      </w:r>
    </w:p>
    <w:p w:rsidR="008678AB" w:rsidRDefault="00100A78">
      <w:pPr>
        <w:jc w:val="center"/>
      </w:pPr>
      <w:r>
        <w:rPr>
          <w:rFonts w:ascii="Arial" w:hAnsi="Arial" w:cs="Arial"/>
          <w:b/>
          <w:color w:val="000000"/>
        </w:rPr>
        <w:t>2pm by Video Call</w:t>
      </w:r>
    </w:p>
    <w:p w:rsidR="008678AB" w:rsidRDefault="008678AB">
      <w:pPr>
        <w:rPr>
          <w:rFonts w:ascii="Arial" w:hAnsi="Arial" w:cs="Arial"/>
          <w:color w:val="000000"/>
          <w:sz w:val="28"/>
          <w:szCs w:val="28"/>
        </w:rPr>
      </w:pPr>
    </w:p>
    <w:p w:rsidR="008678AB" w:rsidRDefault="00100A78">
      <w:r>
        <w:rPr>
          <w:rFonts w:ascii="Arial" w:hAnsi="Arial" w:cs="Arial"/>
          <w:b/>
          <w:bCs/>
          <w:color w:val="000000"/>
        </w:rPr>
        <w:t>Present</w:t>
      </w:r>
      <w:r>
        <w:rPr>
          <w:rFonts w:ascii="Arial" w:hAnsi="Arial" w:cs="Arial"/>
          <w:color w:val="000000"/>
        </w:rPr>
        <w:t xml:space="preserve">: Linda Pugsley (LP – Chair), Norman Pugsley, Stephanie Newman, Carol Sweetland, Pat Linfield, Vanessa Biggs, </w:t>
      </w:r>
      <w:bookmarkStart w:id="0" w:name="__DdeLink__271_2313454689"/>
      <w:r>
        <w:rPr>
          <w:rFonts w:ascii="Arial" w:hAnsi="Arial" w:cs="Arial"/>
          <w:color w:val="000000"/>
        </w:rPr>
        <w:t>Stephanie McKenzie-Hill</w:t>
      </w:r>
      <w:bookmarkEnd w:id="0"/>
      <w:r>
        <w:rPr>
          <w:rFonts w:ascii="Arial" w:hAnsi="Arial" w:cs="Arial"/>
          <w:b/>
          <w:color w:val="000000"/>
        </w:rPr>
        <w:t xml:space="preserve">, </w:t>
      </w:r>
      <w:r>
        <w:rPr>
          <w:rFonts w:ascii="Arial" w:hAnsi="Arial" w:cs="Arial"/>
          <w:color w:val="000000"/>
        </w:rPr>
        <w:t>John Wenham, Jonathan Walker, Alison Ledward, Julie Meredith and Bob Ruthven</w:t>
      </w:r>
    </w:p>
    <w:p w:rsidR="008678AB" w:rsidRDefault="00100A78">
      <w:r>
        <w:rPr>
          <w:rFonts w:ascii="Arial" w:hAnsi="Arial" w:cs="Arial"/>
          <w:b/>
          <w:bCs/>
          <w:color w:val="000000"/>
        </w:rPr>
        <w:t xml:space="preserve">Surgery Staff: </w:t>
      </w:r>
      <w:r>
        <w:rPr>
          <w:rFonts w:ascii="Arial" w:hAnsi="Arial" w:cs="Arial"/>
          <w:color w:val="000000"/>
        </w:rPr>
        <w:t>Sue Trenchard, Practice Manager, Horam, Dr Sarah Perry, Rebecca Slattery-Kavanagh, Business Manager, Buxted East Hoathly &amp; Horam.</w:t>
      </w:r>
    </w:p>
    <w:p w:rsidR="008678AB" w:rsidRDefault="008678AB">
      <w:pPr>
        <w:rPr>
          <w:rFonts w:ascii="Calibri" w:hAnsi="Calibri"/>
        </w:rPr>
      </w:pPr>
    </w:p>
    <w:tbl>
      <w:tblPr>
        <w:tblW w:w="10139" w:type="dxa"/>
        <w:tblInd w:w="-109" w:type="dxa"/>
        <w:tblLook w:val="0000" w:firstRow="0" w:lastRow="0" w:firstColumn="0" w:lastColumn="0" w:noHBand="0" w:noVBand="0"/>
      </w:tblPr>
      <w:tblGrid>
        <w:gridCol w:w="530"/>
        <w:gridCol w:w="8099"/>
        <w:gridCol w:w="1510"/>
      </w:tblGrid>
      <w:tr w:rsidR="008678A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8678AB">
            <w:pPr>
              <w:rPr>
                <w:rFonts w:ascii="Arial" w:hAnsi="Arial" w:cs="Arial"/>
              </w:rPr>
            </w:pP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TOPIC</w:t>
            </w:r>
          </w:p>
          <w:p w:rsidR="008678AB" w:rsidRDefault="008678AB">
            <w:pPr>
              <w:rPr>
                <w:rFonts w:ascii="Arial" w:hAnsi="Arial" w:cs="Arial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  <w:p w:rsidR="008678AB" w:rsidRDefault="00100A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BY</w:t>
            </w:r>
          </w:p>
        </w:tc>
      </w:tr>
      <w:tr w:rsidR="008678A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r>
              <w:rPr>
                <w:rFonts w:ascii="Arial" w:hAnsi="Arial" w:cs="Arial"/>
                <w:b/>
                <w:color w:val="000000"/>
              </w:rPr>
              <w:t>Apologies for absence:</w:t>
            </w:r>
          </w:p>
          <w:p w:rsidR="008678AB" w:rsidRDefault="00100A78">
            <w:r>
              <w:rPr>
                <w:rFonts w:ascii="Arial" w:hAnsi="Arial" w:cs="Arial"/>
                <w:color w:val="000000"/>
              </w:rPr>
              <w:t xml:space="preserve">Quentin </w:t>
            </w:r>
            <w:r w:rsidR="008416F6">
              <w:rPr>
                <w:rFonts w:ascii="Arial" w:hAnsi="Arial" w:cs="Arial"/>
                <w:color w:val="000000"/>
              </w:rPr>
              <w:t>Burch, Sara Sawyer, Lynn Fraser and</w:t>
            </w:r>
            <w:r>
              <w:rPr>
                <w:rFonts w:ascii="Arial" w:hAnsi="Arial" w:cs="Arial"/>
                <w:color w:val="000000"/>
              </w:rPr>
              <w:t xml:space="preserve"> Fiona Thorpe</w:t>
            </w:r>
          </w:p>
          <w:p w:rsidR="008678AB" w:rsidRDefault="008678AB"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8678AB">
            <w:pPr>
              <w:rPr>
                <w:rFonts w:ascii="Arial" w:hAnsi="Arial" w:cs="Arial"/>
              </w:rPr>
            </w:pPr>
          </w:p>
        </w:tc>
      </w:tr>
      <w:tr w:rsidR="008678A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pPr>
              <w:spacing w:after="120"/>
            </w:pPr>
            <w:r>
              <w:rPr>
                <w:rFonts w:ascii="Arial" w:hAnsi="Arial" w:cs="Arial"/>
                <w:b/>
                <w:color w:val="000000"/>
              </w:rPr>
              <w:t>Adoption of Minutes of Last Meeting held on 22</w:t>
            </w:r>
            <w:r>
              <w:rPr>
                <w:rFonts w:ascii="Arial" w:hAnsi="Arial" w:cs="Arial"/>
                <w:b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color w:val="000000"/>
              </w:rPr>
              <w:t xml:space="preserve"> July 2021:</w:t>
            </w:r>
          </w:p>
          <w:p w:rsidR="008678AB" w:rsidRDefault="00100A78">
            <w:r>
              <w:rPr>
                <w:rFonts w:ascii="Arial" w:hAnsi="Arial" w:cs="Arial"/>
                <w:color w:val="000000"/>
              </w:rPr>
              <w:t>Minutes were agreed as a correct record.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8678AB">
            <w:pPr>
              <w:rPr>
                <w:rFonts w:ascii="Arial" w:hAnsi="Arial" w:cs="Arial"/>
              </w:rPr>
            </w:pPr>
          </w:p>
        </w:tc>
      </w:tr>
      <w:tr w:rsidR="008678AB">
        <w:trPr>
          <w:trHeight w:val="92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pPr>
              <w:spacing w:after="120"/>
            </w:pPr>
            <w:r>
              <w:rPr>
                <w:rFonts w:ascii="Arial" w:hAnsi="Arial" w:cs="Arial"/>
                <w:b/>
                <w:color w:val="000000"/>
              </w:rPr>
              <w:t>Matters Arising:</w:t>
            </w:r>
          </w:p>
          <w:p w:rsidR="008678AB" w:rsidRDefault="00100A78">
            <w:pPr>
              <w:spacing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None</w:t>
            </w:r>
          </w:p>
          <w:p w:rsidR="008416F6" w:rsidRDefault="008416F6" w:rsidP="007F444C">
            <w:r>
              <w:rPr>
                <w:rFonts w:ascii="Arial" w:hAnsi="Arial" w:cs="Arial"/>
                <w:color w:val="000000"/>
              </w:rPr>
              <w:t xml:space="preserve">Everyone introduced themselves to the new Business Manager Rebecca Slattery-Kavanagh (RSK), </w:t>
            </w:r>
            <w:r w:rsidR="007F444C">
              <w:rPr>
                <w:rFonts w:ascii="Arial" w:hAnsi="Arial" w:cs="Arial"/>
                <w:color w:val="000000"/>
              </w:rPr>
              <w:t>who</w:t>
            </w:r>
            <w:r>
              <w:rPr>
                <w:rFonts w:ascii="Arial" w:hAnsi="Arial" w:cs="Arial"/>
                <w:color w:val="000000"/>
              </w:rPr>
              <w:t xml:space="preserve"> started in August</w:t>
            </w:r>
            <w:r w:rsidR="001E2C36">
              <w:rPr>
                <w:rFonts w:ascii="Arial" w:hAnsi="Arial" w:cs="Arial"/>
                <w:color w:val="000000"/>
              </w:rPr>
              <w:t xml:space="preserve"> and </w:t>
            </w:r>
            <w:r w:rsidR="007F444C">
              <w:rPr>
                <w:rFonts w:ascii="Arial" w:hAnsi="Arial" w:cs="Arial"/>
                <w:color w:val="000000"/>
              </w:rPr>
              <w:t>who p</w:t>
            </w:r>
            <w:r>
              <w:rPr>
                <w:rFonts w:ascii="Arial" w:hAnsi="Arial" w:cs="Arial"/>
                <w:color w:val="000000"/>
              </w:rPr>
              <w:t>reviously worked in a Haywards Heath G.P practice for 6.5 years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</w:tc>
      </w:tr>
      <w:tr w:rsidR="008678AB">
        <w:trPr>
          <w:trHeight w:val="926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8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pPr>
              <w:spacing w:after="120"/>
            </w:pPr>
            <w:r>
              <w:rPr>
                <w:rFonts w:ascii="Arial" w:hAnsi="Arial" w:cs="Arial"/>
                <w:b/>
                <w:color w:val="000000"/>
              </w:rPr>
              <w:t>Areas of Concern (other than telephone and appointments)  Communication and how the receptionists deal with patients, training in triage and customer care</w:t>
            </w:r>
          </w:p>
          <w:p w:rsidR="008678AB" w:rsidRDefault="008416F6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There have been several changes in reception and a </w:t>
            </w:r>
            <w:r w:rsidR="00100A78">
              <w:rPr>
                <w:rFonts w:ascii="Arial" w:hAnsi="Arial" w:cs="Arial"/>
                <w:color w:val="000000"/>
              </w:rPr>
              <w:t xml:space="preserve">new supervisor </w:t>
            </w:r>
            <w:r>
              <w:rPr>
                <w:rFonts w:ascii="Arial" w:hAnsi="Arial" w:cs="Arial"/>
                <w:color w:val="000000"/>
              </w:rPr>
              <w:t xml:space="preserve">is </w:t>
            </w:r>
            <w:r w:rsidR="00100A78">
              <w:rPr>
                <w:rFonts w:ascii="Arial" w:hAnsi="Arial" w:cs="Arial"/>
                <w:color w:val="000000"/>
              </w:rPr>
              <w:t>starting next week</w:t>
            </w:r>
            <w:r>
              <w:rPr>
                <w:rFonts w:ascii="Arial" w:hAnsi="Arial" w:cs="Arial"/>
                <w:color w:val="000000"/>
              </w:rPr>
              <w:t>.</w:t>
            </w:r>
            <w:r w:rsidR="00100A78">
              <w:rPr>
                <w:rFonts w:ascii="Arial" w:hAnsi="Arial" w:cs="Arial"/>
                <w:color w:val="000000"/>
              </w:rPr>
              <w:t xml:space="preserve"> </w:t>
            </w:r>
          </w:p>
          <w:p w:rsidR="008678AB" w:rsidRDefault="007F444C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>There is a n</w:t>
            </w:r>
            <w:r w:rsidR="00100A78">
              <w:rPr>
                <w:rFonts w:ascii="Arial" w:hAnsi="Arial" w:cs="Arial"/>
                <w:color w:val="000000"/>
              </w:rPr>
              <w:t xml:space="preserve">eed for </w:t>
            </w:r>
            <w:r>
              <w:rPr>
                <w:rFonts w:ascii="Arial" w:hAnsi="Arial" w:cs="Arial"/>
                <w:color w:val="000000"/>
              </w:rPr>
              <w:t xml:space="preserve">receptionist </w:t>
            </w:r>
            <w:r w:rsidR="00100A78">
              <w:rPr>
                <w:rFonts w:ascii="Arial" w:hAnsi="Arial" w:cs="Arial"/>
                <w:color w:val="000000"/>
              </w:rPr>
              <w:t>training and triage training</w:t>
            </w:r>
            <w:r>
              <w:rPr>
                <w:rFonts w:ascii="Arial" w:hAnsi="Arial" w:cs="Arial"/>
                <w:color w:val="000000"/>
              </w:rPr>
              <w:t>.</w:t>
            </w:r>
            <w:r w:rsidR="00100A78">
              <w:rPr>
                <w:rFonts w:ascii="Arial" w:hAnsi="Arial" w:cs="Arial"/>
                <w:color w:val="000000"/>
              </w:rPr>
              <w:t xml:space="preserve"> Dr Perry and an Advanced Nurse Practitioner are going to do some triage training for reception staff.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RSK knows that this is an area of priority and wants to support this and look to empower the staff, to </w:t>
            </w:r>
            <w:r w:rsidR="007F444C">
              <w:rPr>
                <w:rFonts w:ascii="Arial" w:hAnsi="Arial" w:cs="Arial"/>
                <w:color w:val="000000"/>
              </w:rPr>
              <w:t>improve</w:t>
            </w:r>
            <w:r>
              <w:rPr>
                <w:rFonts w:ascii="Arial" w:hAnsi="Arial" w:cs="Arial"/>
                <w:color w:val="000000"/>
              </w:rPr>
              <w:t xml:space="preserve"> their approach and confidence.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Julie Meredith (JM) asked </w:t>
            </w:r>
            <w:r w:rsidR="00D00011">
              <w:rPr>
                <w:rFonts w:ascii="Arial" w:hAnsi="Arial" w:cs="Arial"/>
                <w:color w:val="000000"/>
              </w:rPr>
              <w:t>if</w:t>
            </w:r>
            <w:r>
              <w:rPr>
                <w:rFonts w:ascii="Arial" w:hAnsi="Arial" w:cs="Arial"/>
                <w:color w:val="000000"/>
              </w:rPr>
              <w:t xml:space="preserve"> the prac</w:t>
            </w:r>
            <w:r w:rsidR="007F444C">
              <w:rPr>
                <w:rFonts w:ascii="Arial" w:hAnsi="Arial" w:cs="Arial"/>
                <w:color w:val="000000"/>
              </w:rPr>
              <w:t xml:space="preserve">tices </w:t>
            </w:r>
            <w:r w:rsidR="00D00011">
              <w:rPr>
                <w:rFonts w:ascii="Arial" w:hAnsi="Arial" w:cs="Arial"/>
                <w:color w:val="000000"/>
              </w:rPr>
              <w:t xml:space="preserve">could </w:t>
            </w:r>
            <w:r w:rsidR="007F444C">
              <w:rPr>
                <w:rFonts w:ascii="Arial" w:hAnsi="Arial" w:cs="Arial"/>
                <w:color w:val="000000"/>
              </w:rPr>
              <w:t>look to review the appointment system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7F444C">
              <w:rPr>
                <w:rFonts w:ascii="Arial" w:hAnsi="Arial" w:cs="Arial"/>
                <w:color w:val="000000"/>
              </w:rPr>
              <w:t xml:space="preserve">so that </w:t>
            </w:r>
            <w:r w:rsidR="00412528">
              <w:rPr>
                <w:rFonts w:ascii="Arial" w:hAnsi="Arial" w:cs="Arial"/>
                <w:color w:val="000000"/>
              </w:rPr>
              <w:t>patients</w:t>
            </w:r>
            <w:r w:rsidR="007F444C">
              <w:rPr>
                <w:rFonts w:ascii="Arial" w:hAnsi="Arial" w:cs="Arial"/>
                <w:color w:val="000000"/>
              </w:rPr>
              <w:t xml:space="preserve"> who ring </w:t>
            </w:r>
            <w:r w:rsidR="00412528">
              <w:rPr>
                <w:rFonts w:ascii="Arial" w:hAnsi="Arial" w:cs="Arial"/>
                <w:color w:val="000000"/>
              </w:rPr>
              <w:t>later</w:t>
            </w:r>
            <w:r w:rsidR="007F444C">
              <w:rPr>
                <w:rFonts w:ascii="Arial" w:hAnsi="Arial" w:cs="Arial"/>
                <w:color w:val="000000"/>
              </w:rPr>
              <w:t xml:space="preserve"> can be seen the same day.</w:t>
            </w:r>
            <w:r w:rsidR="00412528">
              <w:rPr>
                <w:rFonts w:ascii="Arial" w:hAnsi="Arial" w:cs="Arial"/>
                <w:color w:val="000000"/>
              </w:rPr>
              <w:t xml:space="preserve"> S</w:t>
            </w:r>
            <w:r>
              <w:rPr>
                <w:rFonts w:ascii="Arial" w:hAnsi="Arial" w:cs="Arial"/>
                <w:color w:val="000000"/>
              </w:rPr>
              <w:t xml:space="preserve">imple measures could </w:t>
            </w:r>
            <w:r w:rsidR="00412528">
              <w:rPr>
                <w:rFonts w:ascii="Arial" w:hAnsi="Arial" w:cs="Arial"/>
                <w:color w:val="000000"/>
              </w:rPr>
              <w:t xml:space="preserve">be implemented to </w:t>
            </w:r>
            <w:r>
              <w:rPr>
                <w:rFonts w:ascii="Arial" w:hAnsi="Arial" w:cs="Arial"/>
                <w:color w:val="000000"/>
              </w:rPr>
              <w:t>help avoid frustration</w:t>
            </w:r>
            <w:r w:rsidR="00412528">
              <w:rPr>
                <w:rFonts w:ascii="Arial" w:hAnsi="Arial" w:cs="Arial"/>
                <w:color w:val="000000"/>
              </w:rPr>
              <w:t xml:space="preserve"> on both sides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>RSK and Dr Perry emphasised that if patients need to be seen face to face then they will be, as clinically appropriate, patient choice will also be taken into account.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All agreed that the reception is the first point for the surgery and that it is important that they are supported </w:t>
            </w:r>
            <w:r w:rsidR="00412528">
              <w:rPr>
                <w:rFonts w:ascii="Arial" w:hAnsi="Arial" w:cs="Arial"/>
                <w:color w:val="000000"/>
              </w:rPr>
              <w:t>in</w:t>
            </w:r>
            <w:r>
              <w:rPr>
                <w:rFonts w:ascii="Arial" w:hAnsi="Arial" w:cs="Arial"/>
                <w:color w:val="000000"/>
              </w:rPr>
              <w:t xml:space="preserve"> their role to ensure they give the correct </w:t>
            </w:r>
            <w:r w:rsidR="00412528">
              <w:rPr>
                <w:rFonts w:ascii="Arial" w:hAnsi="Arial" w:cs="Arial"/>
                <w:color w:val="000000"/>
              </w:rPr>
              <w:t>information</w:t>
            </w:r>
            <w:r>
              <w:rPr>
                <w:rFonts w:ascii="Arial" w:hAnsi="Arial" w:cs="Arial"/>
                <w:color w:val="000000"/>
              </w:rPr>
              <w:t xml:space="preserve"> to patients to help </w:t>
            </w:r>
            <w:r w:rsidR="00B213EE">
              <w:rPr>
                <w:rFonts w:ascii="Arial" w:hAnsi="Arial" w:cs="Arial"/>
                <w:color w:val="000000"/>
              </w:rPr>
              <w:t>reduce conflicts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>Dr Perry commented that with the new management and G.P capacity in place</w:t>
            </w:r>
            <w:r w:rsidR="00B213EE">
              <w:rPr>
                <w:rFonts w:ascii="Arial" w:hAnsi="Arial" w:cs="Arial"/>
                <w:color w:val="000000"/>
              </w:rPr>
              <w:t xml:space="preserve">, </w:t>
            </w:r>
            <w:r w:rsidR="00D4537E">
              <w:rPr>
                <w:rFonts w:ascii="Arial" w:hAnsi="Arial" w:cs="Arial"/>
                <w:color w:val="000000"/>
              </w:rPr>
              <w:t>it</w:t>
            </w:r>
            <w:r w:rsidR="00B213EE">
              <w:rPr>
                <w:rFonts w:ascii="Arial" w:hAnsi="Arial" w:cs="Arial"/>
                <w:color w:val="000000"/>
              </w:rPr>
              <w:t xml:space="preserve"> will help </w:t>
            </w:r>
            <w:r w:rsidR="00D4537E">
              <w:rPr>
                <w:rFonts w:ascii="Arial" w:hAnsi="Arial" w:cs="Arial"/>
                <w:color w:val="000000"/>
              </w:rPr>
              <w:t xml:space="preserve">them </w:t>
            </w:r>
            <w:r w:rsidR="00B213EE">
              <w:rPr>
                <w:rFonts w:ascii="Arial" w:hAnsi="Arial" w:cs="Arial"/>
                <w:color w:val="000000"/>
              </w:rPr>
              <w:t>move in</w:t>
            </w:r>
            <w:r>
              <w:rPr>
                <w:rFonts w:ascii="Arial" w:hAnsi="Arial" w:cs="Arial"/>
                <w:color w:val="000000"/>
              </w:rPr>
              <w:t xml:space="preserve"> the right direction. 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Jon </w:t>
            </w:r>
            <w:r w:rsidR="00225CB2">
              <w:rPr>
                <w:rFonts w:ascii="Arial" w:hAnsi="Arial" w:cs="Arial"/>
                <w:color w:val="000000"/>
              </w:rPr>
              <w:t>Walker</w:t>
            </w:r>
            <w:r>
              <w:rPr>
                <w:rFonts w:ascii="Arial" w:hAnsi="Arial" w:cs="Arial"/>
                <w:color w:val="000000"/>
              </w:rPr>
              <w:t xml:space="preserve"> agreed this all sounds </w:t>
            </w:r>
            <w:r w:rsidR="002D2D9A">
              <w:rPr>
                <w:rFonts w:ascii="Arial" w:hAnsi="Arial" w:cs="Arial"/>
                <w:color w:val="000000"/>
              </w:rPr>
              <w:t>positive</w:t>
            </w:r>
            <w:r>
              <w:rPr>
                <w:rFonts w:ascii="Arial" w:hAnsi="Arial" w:cs="Arial"/>
                <w:color w:val="000000"/>
              </w:rPr>
              <w:t xml:space="preserve"> and suggested we need to </w:t>
            </w:r>
            <w:r>
              <w:rPr>
                <w:rFonts w:ascii="Arial" w:hAnsi="Arial" w:cs="Arial"/>
                <w:color w:val="000000"/>
              </w:rPr>
              <w:lastRenderedPageBreak/>
              <w:t>communicate this to all our patients, and to ensure that the patients also nee</w:t>
            </w:r>
            <w:r w:rsidR="00B213EE">
              <w:rPr>
                <w:rFonts w:ascii="Arial" w:hAnsi="Arial" w:cs="Arial"/>
                <w:color w:val="000000"/>
              </w:rPr>
              <w:t>d to be clear on what behaviour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AB7B0F">
              <w:rPr>
                <w:rFonts w:ascii="Arial" w:hAnsi="Arial" w:cs="Arial"/>
                <w:color w:val="000000"/>
              </w:rPr>
              <w:t>is</w:t>
            </w:r>
            <w:r>
              <w:rPr>
                <w:rFonts w:ascii="Arial" w:hAnsi="Arial" w:cs="Arial"/>
                <w:color w:val="000000"/>
              </w:rPr>
              <w:t xml:space="preserve"> expect</w:t>
            </w:r>
            <w:r w:rsidR="00AB7B0F">
              <w:rPr>
                <w:rFonts w:ascii="Arial" w:hAnsi="Arial" w:cs="Arial"/>
                <w:color w:val="000000"/>
              </w:rPr>
              <w:t>ed</w:t>
            </w:r>
            <w:r>
              <w:rPr>
                <w:rFonts w:ascii="Arial" w:hAnsi="Arial" w:cs="Arial"/>
                <w:color w:val="000000"/>
              </w:rPr>
              <w:t xml:space="preserve"> from them.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JM we must be clear to patients that </w:t>
            </w:r>
            <w:r w:rsidR="00972C6A">
              <w:rPr>
                <w:rFonts w:ascii="Arial" w:hAnsi="Arial" w:cs="Arial"/>
                <w:color w:val="000000"/>
              </w:rPr>
              <w:t>abuse</w:t>
            </w:r>
            <w:r w:rsidR="00972C6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will not accept</w:t>
            </w:r>
            <w:r w:rsidR="00972C6A">
              <w:rPr>
                <w:rFonts w:ascii="Arial" w:hAnsi="Arial" w:cs="Arial"/>
                <w:color w:val="000000"/>
              </w:rPr>
              <w:t>ed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Norman Pugsley (NP) </w:t>
            </w:r>
            <w:r w:rsidR="00B213EE">
              <w:rPr>
                <w:rFonts w:ascii="Arial" w:hAnsi="Arial" w:cs="Arial"/>
                <w:color w:val="000000"/>
              </w:rPr>
              <w:t>suggested that</w:t>
            </w:r>
            <w:r>
              <w:rPr>
                <w:rFonts w:ascii="Arial" w:hAnsi="Arial" w:cs="Arial"/>
                <w:color w:val="000000"/>
              </w:rPr>
              <w:t xml:space="preserve"> the front-line messages are </w:t>
            </w:r>
            <w:r w:rsidR="00B213EE">
              <w:rPr>
                <w:rFonts w:ascii="Arial" w:hAnsi="Arial" w:cs="Arial"/>
                <w:color w:val="000000"/>
              </w:rPr>
              <w:t xml:space="preserve">phrased in a </w:t>
            </w:r>
            <w:r>
              <w:rPr>
                <w:rFonts w:ascii="Arial" w:hAnsi="Arial" w:cs="Arial"/>
                <w:color w:val="000000"/>
              </w:rPr>
              <w:t>positive</w:t>
            </w:r>
            <w:r w:rsidR="00B213EE">
              <w:rPr>
                <w:rFonts w:ascii="Arial" w:hAnsi="Arial" w:cs="Arial"/>
                <w:color w:val="000000"/>
              </w:rPr>
              <w:t xml:space="preserve"> way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b/>
                <w:color w:val="000000"/>
              </w:rPr>
              <w:t>Communicating with Patients – for routine and follow up appointments, chronic conditions, tests, out of range results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Dr Perry </w:t>
            </w:r>
            <w:r w:rsidR="00B213EE">
              <w:rPr>
                <w:rFonts w:ascii="Arial" w:hAnsi="Arial" w:cs="Arial"/>
                <w:color w:val="000000"/>
              </w:rPr>
              <w:t>agreed this is a priority area</w:t>
            </w:r>
            <w:r w:rsidR="00E01175">
              <w:rPr>
                <w:rFonts w:ascii="Arial" w:hAnsi="Arial" w:cs="Arial"/>
                <w:color w:val="000000"/>
              </w:rPr>
              <w:t>.</w:t>
            </w:r>
            <w:r w:rsidR="00B213EE">
              <w:rPr>
                <w:rFonts w:ascii="Arial" w:hAnsi="Arial" w:cs="Arial"/>
                <w:color w:val="000000"/>
              </w:rPr>
              <w:t xml:space="preserve"> </w:t>
            </w:r>
            <w:r w:rsidR="00E01175">
              <w:rPr>
                <w:rFonts w:ascii="Arial" w:hAnsi="Arial" w:cs="Arial"/>
                <w:color w:val="000000"/>
              </w:rPr>
              <w:t>Two new G</w:t>
            </w:r>
            <w:r>
              <w:rPr>
                <w:rFonts w:ascii="Arial" w:hAnsi="Arial" w:cs="Arial"/>
                <w:color w:val="000000"/>
              </w:rPr>
              <w:t>Ps</w:t>
            </w:r>
            <w:r w:rsidR="00E01175">
              <w:rPr>
                <w:rFonts w:ascii="Arial" w:hAnsi="Arial" w:cs="Arial"/>
                <w:color w:val="000000"/>
              </w:rPr>
              <w:t xml:space="preserve"> are</w:t>
            </w:r>
            <w:r>
              <w:rPr>
                <w:rFonts w:ascii="Arial" w:hAnsi="Arial" w:cs="Arial"/>
                <w:color w:val="000000"/>
              </w:rPr>
              <w:t xml:space="preserve"> joining the practices </w:t>
            </w:r>
            <w:r w:rsidR="00E01175">
              <w:rPr>
                <w:rFonts w:ascii="Arial" w:hAnsi="Arial" w:cs="Arial"/>
                <w:color w:val="000000"/>
              </w:rPr>
              <w:t>which will</w:t>
            </w:r>
            <w:r w:rsidR="00B213EE">
              <w:rPr>
                <w:rFonts w:ascii="Arial" w:hAnsi="Arial" w:cs="Arial"/>
                <w:color w:val="000000"/>
              </w:rPr>
              <w:t xml:space="preserve"> provide</w:t>
            </w:r>
            <w:r>
              <w:rPr>
                <w:rFonts w:ascii="Arial" w:hAnsi="Arial" w:cs="Arial"/>
                <w:color w:val="000000"/>
              </w:rPr>
              <w:t xml:space="preserve"> more flexibility </w:t>
            </w:r>
            <w:r w:rsidR="00B213EE">
              <w:rPr>
                <w:rFonts w:ascii="Arial" w:hAnsi="Arial" w:cs="Arial"/>
                <w:color w:val="000000"/>
              </w:rPr>
              <w:t>in</w:t>
            </w:r>
            <w:r>
              <w:rPr>
                <w:rFonts w:ascii="Arial" w:hAnsi="Arial" w:cs="Arial"/>
                <w:color w:val="000000"/>
              </w:rPr>
              <w:t xml:space="preserve"> how </w:t>
            </w:r>
            <w:r w:rsidR="00B213EE">
              <w:rPr>
                <w:rFonts w:ascii="Arial" w:hAnsi="Arial" w:cs="Arial"/>
                <w:color w:val="000000"/>
              </w:rPr>
              <w:t>test results and follow ups are communicated to patients.</w:t>
            </w:r>
          </w:p>
          <w:p w:rsidR="008678AB" w:rsidRDefault="00E01175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>G</w:t>
            </w:r>
            <w:r w:rsidR="00100A78">
              <w:rPr>
                <w:rFonts w:ascii="Arial" w:hAnsi="Arial" w:cs="Arial"/>
                <w:color w:val="000000"/>
              </w:rPr>
              <w:t xml:space="preserve">Ps </w:t>
            </w:r>
            <w:r>
              <w:rPr>
                <w:rFonts w:ascii="Arial" w:hAnsi="Arial" w:cs="Arial"/>
                <w:color w:val="000000"/>
              </w:rPr>
              <w:t xml:space="preserve">will </w:t>
            </w:r>
            <w:r w:rsidR="00100A78">
              <w:rPr>
                <w:rFonts w:ascii="Arial" w:hAnsi="Arial" w:cs="Arial"/>
                <w:color w:val="000000"/>
              </w:rPr>
              <w:t xml:space="preserve">have a dedicated list of patients </w:t>
            </w:r>
            <w:r>
              <w:rPr>
                <w:rFonts w:ascii="Arial" w:hAnsi="Arial" w:cs="Arial"/>
                <w:color w:val="000000"/>
              </w:rPr>
              <w:t>with</w:t>
            </w:r>
            <w:r w:rsidR="00100A78">
              <w:rPr>
                <w:rFonts w:ascii="Arial" w:hAnsi="Arial" w:cs="Arial"/>
                <w:color w:val="000000"/>
              </w:rPr>
              <w:t xml:space="preserve"> chronic conditions, test results, and follow up.</w:t>
            </w:r>
            <w:r>
              <w:rPr>
                <w:rFonts w:ascii="Arial" w:hAnsi="Arial" w:cs="Arial"/>
                <w:color w:val="000000"/>
              </w:rPr>
              <w:t xml:space="preserve"> This will provide better patient continuity of care for patients.</w:t>
            </w:r>
          </w:p>
          <w:p w:rsidR="008678AB" w:rsidRDefault="00E01175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>When a patient needs an a</w:t>
            </w:r>
            <w:r w:rsidR="00100A78">
              <w:rPr>
                <w:rFonts w:ascii="Arial" w:hAnsi="Arial" w:cs="Arial"/>
                <w:color w:val="000000"/>
              </w:rPr>
              <w:t>nnual health reviews</w:t>
            </w:r>
            <w:r>
              <w:rPr>
                <w:rFonts w:ascii="Arial" w:hAnsi="Arial" w:cs="Arial"/>
                <w:color w:val="000000"/>
              </w:rPr>
              <w:t xml:space="preserve">, they should be </w:t>
            </w:r>
            <w:r w:rsidR="001E166E">
              <w:rPr>
                <w:rFonts w:ascii="Arial" w:hAnsi="Arial" w:cs="Arial"/>
                <w:color w:val="000000"/>
              </w:rPr>
              <w:t>invited to make an appointment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100A78">
              <w:rPr>
                <w:rFonts w:ascii="Arial" w:hAnsi="Arial" w:cs="Arial"/>
                <w:color w:val="000000"/>
              </w:rPr>
              <w:t>on</w:t>
            </w:r>
            <w:r>
              <w:rPr>
                <w:rFonts w:ascii="Arial" w:hAnsi="Arial" w:cs="Arial"/>
                <w:color w:val="000000"/>
              </w:rPr>
              <w:t xml:space="preserve"> or around</w:t>
            </w:r>
            <w:r w:rsidR="00100A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their</w:t>
            </w:r>
            <w:r w:rsidR="00100A78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birthday</w:t>
            </w:r>
            <w:r w:rsidR="001E166E">
              <w:rPr>
                <w:rFonts w:ascii="Arial" w:hAnsi="Arial" w:cs="Arial"/>
                <w:color w:val="000000"/>
              </w:rPr>
              <w:t xml:space="preserve">, for an annual check-up.  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RSK will be reviewing the use of </w:t>
            </w:r>
            <w:r w:rsidR="001E166E">
              <w:rPr>
                <w:rFonts w:ascii="Arial" w:hAnsi="Arial" w:cs="Arial"/>
                <w:color w:val="000000"/>
              </w:rPr>
              <w:t>digital services, to improve</w:t>
            </w:r>
            <w:r>
              <w:rPr>
                <w:rFonts w:ascii="Arial" w:hAnsi="Arial" w:cs="Arial"/>
                <w:color w:val="000000"/>
              </w:rPr>
              <w:t xml:space="preserve"> messaging</w:t>
            </w:r>
            <w:r w:rsidR="001E166E">
              <w:rPr>
                <w:rFonts w:ascii="Arial" w:hAnsi="Arial" w:cs="Arial"/>
                <w:color w:val="000000"/>
              </w:rPr>
              <w:t xml:space="preserve"> to mobiles, etc.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1E166E">
              <w:rPr>
                <w:rFonts w:ascii="Arial" w:hAnsi="Arial" w:cs="Arial"/>
                <w:color w:val="000000"/>
              </w:rPr>
              <w:t>to provide more efficient organisation of</w:t>
            </w:r>
            <w:r>
              <w:rPr>
                <w:rFonts w:ascii="Arial" w:hAnsi="Arial" w:cs="Arial"/>
                <w:color w:val="000000"/>
              </w:rPr>
              <w:t xml:space="preserve"> patient recalls.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General discussion </w:t>
            </w:r>
            <w:r w:rsidR="001E166E">
              <w:rPr>
                <w:rFonts w:ascii="Arial" w:hAnsi="Arial" w:cs="Arial"/>
                <w:color w:val="000000"/>
              </w:rPr>
              <w:t>about</w:t>
            </w:r>
            <w:r>
              <w:rPr>
                <w:rFonts w:ascii="Arial" w:hAnsi="Arial" w:cs="Arial"/>
                <w:color w:val="000000"/>
              </w:rPr>
              <w:t xml:space="preserve"> the messaging/communication currently, examples given around how communication </w:t>
            </w:r>
            <w:r w:rsidR="001E166E">
              <w:rPr>
                <w:rFonts w:ascii="Arial" w:hAnsi="Arial" w:cs="Arial"/>
                <w:color w:val="000000"/>
              </w:rPr>
              <w:t>about the flu vaccine had</w:t>
            </w:r>
            <w:r>
              <w:rPr>
                <w:rFonts w:ascii="Arial" w:hAnsi="Arial" w:cs="Arial"/>
                <w:color w:val="000000"/>
              </w:rPr>
              <w:t xml:space="preserve"> been unclear, leading to patients ringing up and being told </w:t>
            </w:r>
            <w:r w:rsidR="001E166E">
              <w:rPr>
                <w:rFonts w:ascii="Arial" w:hAnsi="Arial" w:cs="Arial"/>
                <w:color w:val="000000"/>
              </w:rPr>
              <w:t xml:space="preserve">that they were </w:t>
            </w:r>
            <w:r>
              <w:rPr>
                <w:rFonts w:ascii="Arial" w:hAnsi="Arial" w:cs="Arial"/>
                <w:color w:val="000000"/>
              </w:rPr>
              <w:t>not eligible.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b/>
                <w:color w:val="000000"/>
              </w:rPr>
              <w:t>Continuity of care – seeing the same clinician for each episode of a condition</w:t>
            </w:r>
          </w:p>
          <w:p w:rsidR="008678AB" w:rsidRDefault="001E166E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Linda Pugsley (LP) </w:t>
            </w:r>
            <w:r w:rsidR="00100A78">
              <w:rPr>
                <w:rFonts w:ascii="Arial" w:hAnsi="Arial" w:cs="Arial"/>
                <w:color w:val="000000"/>
              </w:rPr>
              <w:t xml:space="preserve">having your own G.P we understand is not always practicable but if you have an acute episode, seeing the same G.P is </w:t>
            </w:r>
            <w:r>
              <w:rPr>
                <w:rFonts w:ascii="Arial" w:hAnsi="Arial" w:cs="Arial"/>
                <w:color w:val="000000"/>
              </w:rPr>
              <w:t>more efficient for continuity of care</w:t>
            </w:r>
            <w:r w:rsidR="00100A78">
              <w:rPr>
                <w:rFonts w:ascii="Arial" w:hAnsi="Arial" w:cs="Arial"/>
                <w:color w:val="000000"/>
              </w:rPr>
              <w:t xml:space="preserve">. Dr Perry agreed </w:t>
            </w:r>
            <w:r w:rsidR="0026314F">
              <w:rPr>
                <w:rFonts w:ascii="Arial" w:hAnsi="Arial" w:cs="Arial"/>
                <w:color w:val="000000"/>
              </w:rPr>
              <w:t>that they</w:t>
            </w:r>
            <w:r w:rsidR="00100A78">
              <w:rPr>
                <w:rFonts w:ascii="Arial" w:hAnsi="Arial" w:cs="Arial"/>
                <w:color w:val="000000"/>
              </w:rPr>
              <w:t xml:space="preserve"> aspire to this as this is better for the patients and for the G.Ps.</w:t>
            </w:r>
          </w:p>
          <w:p w:rsidR="008678AB" w:rsidRDefault="0026314F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>It would help if</w:t>
            </w:r>
            <w:r w:rsidR="00100A78">
              <w:rPr>
                <w:rFonts w:ascii="Arial" w:hAnsi="Arial" w:cs="Arial"/>
                <w:color w:val="000000"/>
              </w:rPr>
              <w:t xml:space="preserve"> the G.P</w:t>
            </w:r>
            <w:r>
              <w:rPr>
                <w:rFonts w:ascii="Arial" w:hAnsi="Arial" w:cs="Arial"/>
                <w:color w:val="000000"/>
              </w:rPr>
              <w:t xml:space="preserve"> arranged </w:t>
            </w:r>
            <w:r w:rsidR="00100A78">
              <w:rPr>
                <w:rFonts w:ascii="Arial" w:hAnsi="Arial" w:cs="Arial"/>
                <w:color w:val="000000"/>
              </w:rPr>
              <w:t xml:space="preserve">the follow up appointment </w:t>
            </w:r>
            <w:r>
              <w:rPr>
                <w:rFonts w:ascii="Arial" w:hAnsi="Arial" w:cs="Arial"/>
                <w:color w:val="000000"/>
              </w:rPr>
              <w:t xml:space="preserve">to help with continuity. However, </w:t>
            </w:r>
            <w:r w:rsidR="00100A78">
              <w:rPr>
                <w:rFonts w:ascii="Arial" w:hAnsi="Arial" w:cs="Arial"/>
                <w:color w:val="000000"/>
              </w:rPr>
              <w:t xml:space="preserve">there is a </w:t>
            </w:r>
            <w:r>
              <w:rPr>
                <w:rFonts w:ascii="Arial" w:hAnsi="Arial" w:cs="Arial"/>
                <w:color w:val="000000"/>
              </w:rPr>
              <w:t xml:space="preserve">need to </w:t>
            </w:r>
            <w:r w:rsidR="00100A78">
              <w:rPr>
                <w:rFonts w:ascii="Arial" w:hAnsi="Arial" w:cs="Arial"/>
                <w:color w:val="000000"/>
              </w:rPr>
              <w:t>balance between available follow up appointments and emergency appointments.</w:t>
            </w:r>
          </w:p>
          <w:p w:rsidR="008678AB" w:rsidRDefault="00100A78" w:rsidP="0026314F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>All agr</w:t>
            </w:r>
            <w:r w:rsidR="0026314F">
              <w:rPr>
                <w:rFonts w:ascii="Arial" w:hAnsi="Arial" w:cs="Arial"/>
                <w:color w:val="000000"/>
              </w:rPr>
              <w:t>eed that whatever systems are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="0026314F">
              <w:rPr>
                <w:rFonts w:ascii="Arial" w:hAnsi="Arial" w:cs="Arial"/>
                <w:color w:val="000000"/>
              </w:rPr>
              <w:t>implemented</w:t>
            </w:r>
            <w:r>
              <w:rPr>
                <w:rFonts w:ascii="Arial" w:hAnsi="Arial" w:cs="Arial"/>
                <w:color w:val="000000"/>
              </w:rPr>
              <w:t xml:space="preserve"> in the future</w:t>
            </w:r>
            <w:r w:rsidR="00B057CF">
              <w:rPr>
                <w:rFonts w:ascii="Arial" w:hAnsi="Arial" w:cs="Arial"/>
                <w:color w:val="000000"/>
              </w:rPr>
              <w:t>, it</w:t>
            </w:r>
            <w:r w:rsidR="0026314F">
              <w:rPr>
                <w:rFonts w:ascii="Arial" w:hAnsi="Arial" w:cs="Arial"/>
                <w:color w:val="000000"/>
              </w:rPr>
              <w:t xml:space="preserve"> is clearly communicated</w:t>
            </w:r>
            <w:r>
              <w:rPr>
                <w:rFonts w:ascii="Arial" w:hAnsi="Arial" w:cs="Arial"/>
                <w:color w:val="000000"/>
              </w:rPr>
              <w:t xml:space="preserve"> to patients</w:t>
            </w:r>
            <w:r w:rsidR="0026314F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100A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RSK</w:t>
            </w: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</w:tc>
      </w:tr>
      <w:tr w:rsidR="008678AB">
        <w:trPr>
          <w:trHeight w:val="926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5.</w:t>
            </w:r>
          </w:p>
        </w:tc>
        <w:tc>
          <w:tcPr>
            <w:tcW w:w="8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pPr>
              <w:spacing w:after="12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Feedback from Patient Representative Group (PRG) Forum Meeting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/>
              </w:rPr>
              <w:t>NP updated the group:</w:t>
            </w:r>
          </w:p>
          <w:p w:rsidR="008678AB" w:rsidRDefault="00100A78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Forum met last week, include</w:t>
            </w:r>
            <w:r w:rsidR="0026314F">
              <w:rPr>
                <w:rFonts w:ascii="Arial" w:hAnsi="Arial"/>
              </w:rPr>
              <w:t>s the 10 practices of the Weald and</w:t>
            </w:r>
            <w:r>
              <w:rPr>
                <w:rFonts w:ascii="Arial" w:hAnsi="Arial"/>
              </w:rPr>
              <w:t xml:space="preserve"> representation from the Clinical Commissioning Group</w:t>
            </w:r>
            <w:r w:rsidR="0026314F">
              <w:rPr>
                <w:rFonts w:ascii="Arial" w:hAnsi="Arial"/>
              </w:rPr>
              <w:t>.</w:t>
            </w:r>
          </w:p>
          <w:p w:rsidR="008678AB" w:rsidRDefault="00100A78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Ac</w:t>
            </w:r>
            <w:r w:rsidR="0026314F">
              <w:rPr>
                <w:rFonts w:ascii="Arial" w:hAnsi="Arial"/>
              </w:rPr>
              <w:t>cess to G.Ps was the main topic and</w:t>
            </w:r>
            <w:r>
              <w:rPr>
                <w:rFonts w:ascii="Arial" w:hAnsi="Arial"/>
              </w:rPr>
              <w:t xml:space="preserve"> there are a range of </w:t>
            </w:r>
            <w:r w:rsidR="00921977">
              <w:rPr>
                <w:rFonts w:ascii="Arial" w:hAnsi="Arial"/>
              </w:rPr>
              <w:t>issues</w:t>
            </w:r>
            <w:r>
              <w:rPr>
                <w:rFonts w:ascii="Arial" w:hAnsi="Arial"/>
              </w:rPr>
              <w:t xml:space="preserve"> locally.</w:t>
            </w:r>
          </w:p>
          <w:p w:rsidR="00921977" w:rsidRDefault="00921977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 was a discussion around how telephone systems and procedures should be improved to avoid long queues. Everyone recognised that call volumes had increased since Covid. 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/>
              </w:rPr>
              <w:t xml:space="preserve">Dr Perry reminded us of the </w:t>
            </w:r>
            <w:r w:rsidR="00921977">
              <w:rPr>
                <w:rFonts w:ascii="Arial" w:hAnsi="Arial"/>
              </w:rPr>
              <w:t>responsibility</w:t>
            </w:r>
            <w:r>
              <w:rPr>
                <w:rFonts w:ascii="Arial" w:hAnsi="Arial"/>
              </w:rPr>
              <w:t xml:space="preserve"> of the Primary Care Network (PCN) and their role to support making general practi</w:t>
            </w:r>
            <w:r w:rsidR="00921977">
              <w:rPr>
                <w:rFonts w:ascii="Arial" w:hAnsi="Arial"/>
              </w:rPr>
              <w:t>ce more resilient. They are l</w:t>
            </w:r>
            <w:r>
              <w:rPr>
                <w:rFonts w:ascii="Arial" w:hAnsi="Arial"/>
              </w:rPr>
              <w:t>ooking at how to av</w:t>
            </w:r>
            <w:r w:rsidR="00921977">
              <w:rPr>
                <w:rFonts w:ascii="Arial" w:hAnsi="Arial"/>
              </w:rPr>
              <w:t>oid the administrative burden on</w:t>
            </w:r>
            <w:r>
              <w:rPr>
                <w:rFonts w:ascii="Arial" w:hAnsi="Arial"/>
              </w:rPr>
              <w:t xml:space="preserve"> G.Ps to help support more clinical availability. </w:t>
            </w:r>
          </w:p>
          <w:p w:rsidR="008678AB" w:rsidRDefault="00100A78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Patient Initiated follow up </w:t>
            </w:r>
            <w:r w:rsidR="00921977">
              <w:rPr>
                <w:rFonts w:ascii="Arial" w:hAnsi="Arial"/>
              </w:rPr>
              <w:t xml:space="preserve">is being rolled out </w:t>
            </w:r>
            <w:r w:rsidR="007D7F4D">
              <w:rPr>
                <w:rFonts w:ascii="Arial" w:hAnsi="Arial"/>
              </w:rPr>
              <w:t xml:space="preserve">over the coming months </w:t>
            </w:r>
            <w:r w:rsidR="00921977">
              <w:rPr>
                <w:rFonts w:ascii="Arial" w:hAnsi="Arial"/>
              </w:rPr>
              <w:t xml:space="preserve">and </w:t>
            </w:r>
            <w:r w:rsidR="007D7F4D">
              <w:rPr>
                <w:rFonts w:ascii="Arial" w:hAnsi="Arial"/>
              </w:rPr>
              <w:t xml:space="preserve">this </w:t>
            </w:r>
            <w:r w:rsidR="00921977">
              <w:rPr>
                <w:rFonts w:ascii="Arial" w:hAnsi="Arial"/>
              </w:rPr>
              <w:t>will mean that patients do not have to contact their GP be</w:t>
            </w:r>
            <w:r w:rsidR="007D7F4D">
              <w:rPr>
                <w:rFonts w:ascii="Arial" w:hAnsi="Arial"/>
              </w:rPr>
              <w:t>fore requesting a follow-up out</w:t>
            </w:r>
            <w:r w:rsidR="00921977">
              <w:rPr>
                <w:rFonts w:ascii="Arial" w:hAnsi="Arial"/>
              </w:rPr>
              <w:t>patient appointment</w:t>
            </w:r>
            <w:r w:rsidR="007D7F4D">
              <w:rPr>
                <w:rFonts w:ascii="Arial" w:hAnsi="Arial"/>
              </w:rPr>
              <w:t>.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/>
              </w:rPr>
              <w:t>Integrated Care Systems, (ICS), partnerships between health and care organisations are pushing for better health prevention strategies.</w:t>
            </w:r>
          </w:p>
          <w:p w:rsidR="008678AB" w:rsidRPr="007D7F4D" w:rsidRDefault="00100A78" w:rsidP="0006097A">
            <w:pPr>
              <w:spacing w:after="120"/>
            </w:pPr>
            <w:r>
              <w:rPr>
                <w:rFonts w:ascii="Arial" w:hAnsi="Arial"/>
              </w:rPr>
              <w:t>RSK will look at other technological resourc</w:t>
            </w:r>
            <w:r w:rsidR="007D7F4D">
              <w:rPr>
                <w:rFonts w:ascii="Arial" w:hAnsi="Arial"/>
              </w:rPr>
              <w:t>es to support patient self-help education.</w:t>
            </w:r>
            <w:r>
              <w:rPr>
                <w:rFonts w:ascii="Arial" w:hAnsi="Arial"/>
              </w:rPr>
              <w:t xml:space="preserve"> Dr Perry said that the PCN funding and developing the implementation of health coaches will also support health education and promotion. </w:t>
            </w:r>
            <w:r w:rsidR="007D7F4D">
              <w:rPr>
                <w:rFonts w:ascii="Arial" w:hAnsi="Arial"/>
              </w:rPr>
              <w:t>When this is implemented, it needs to be prominently displayed on the website</w:t>
            </w:r>
            <w:r w:rsidR="0006097A">
              <w:rPr>
                <w:rFonts w:ascii="Arial" w:hAnsi="Arial"/>
              </w:rPr>
              <w:t>,</w:t>
            </w:r>
            <w:r w:rsidR="007D7F4D">
              <w:rPr>
                <w:rFonts w:ascii="Arial" w:hAnsi="Arial"/>
              </w:rPr>
              <w:t xml:space="preserve"> the waiting area and other social media sites.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</w:tc>
      </w:tr>
      <w:tr w:rsidR="008678A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r>
              <w:rPr>
                <w:rFonts w:ascii="Arial" w:hAnsi="Arial" w:cs="Arial"/>
                <w:b/>
                <w:color w:val="000000"/>
              </w:rPr>
              <w:t>A.O.B</w:t>
            </w:r>
          </w:p>
          <w:p w:rsidR="008678AB" w:rsidRDefault="00100A78">
            <w:r>
              <w:rPr>
                <w:rFonts w:ascii="Arial" w:hAnsi="Arial" w:cs="Arial"/>
                <w:color w:val="000000"/>
              </w:rPr>
              <w:t xml:space="preserve">Alison Ledward, (AL) </w:t>
            </w:r>
            <w:r w:rsidR="007D7F4D">
              <w:rPr>
                <w:rFonts w:ascii="Arial" w:hAnsi="Arial" w:cs="Arial"/>
                <w:color w:val="000000"/>
              </w:rPr>
              <w:t xml:space="preserve">asked </w:t>
            </w:r>
            <w:r>
              <w:rPr>
                <w:rFonts w:ascii="Arial" w:hAnsi="Arial" w:cs="Arial"/>
                <w:color w:val="000000"/>
              </w:rPr>
              <w:t>how often is the practice answerphone message</w:t>
            </w:r>
            <w:r w:rsidR="007D7F4D">
              <w:rPr>
                <w:rFonts w:ascii="Arial" w:hAnsi="Arial" w:cs="Arial"/>
                <w:color w:val="000000"/>
              </w:rPr>
              <w:t xml:space="preserve"> is</w:t>
            </w:r>
            <w:r>
              <w:rPr>
                <w:rFonts w:ascii="Arial" w:hAnsi="Arial" w:cs="Arial"/>
                <w:color w:val="000000"/>
              </w:rPr>
              <w:t xml:space="preserve"> updated? AL observed it needs more up-to-date messaging on Covid</w:t>
            </w:r>
            <w:r w:rsidR="007D7F4D">
              <w:rPr>
                <w:rFonts w:ascii="Arial" w:hAnsi="Arial" w:cs="Arial"/>
                <w:color w:val="000000"/>
              </w:rPr>
              <w:t xml:space="preserve"> and /or more informative messaging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100A78">
            <w:r>
              <w:rPr>
                <w:rFonts w:ascii="Arial" w:hAnsi="Arial" w:cs="Arial"/>
                <w:color w:val="000000"/>
              </w:rPr>
              <w:t xml:space="preserve">Pat Linfield asked </w:t>
            </w:r>
            <w:r w:rsidR="007D7F4D">
              <w:rPr>
                <w:rFonts w:ascii="Arial" w:hAnsi="Arial" w:cs="Arial"/>
                <w:color w:val="000000"/>
              </w:rPr>
              <w:t>if</w:t>
            </w:r>
            <w:r>
              <w:rPr>
                <w:rFonts w:ascii="Arial" w:hAnsi="Arial" w:cs="Arial"/>
                <w:color w:val="000000"/>
              </w:rPr>
              <w:t xml:space="preserve"> patients </w:t>
            </w:r>
            <w:r w:rsidR="007D7F4D">
              <w:rPr>
                <w:rFonts w:ascii="Arial" w:hAnsi="Arial" w:cs="Arial"/>
                <w:color w:val="000000"/>
              </w:rPr>
              <w:t xml:space="preserve">were </w:t>
            </w:r>
            <w:r>
              <w:rPr>
                <w:rFonts w:ascii="Arial" w:hAnsi="Arial" w:cs="Arial"/>
                <w:color w:val="000000"/>
              </w:rPr>
              <w:t xml:space="preserve">aware of what healthcare actually </w:t>
            </w:r>
            <w:r w:rsidR="007D7F4D">
              <w:rPr>
                <w:rFonts w:ascii="Arial" w:hAnsi="Arial" w:cs="Arial"/>
                <w:color w:val="000000"/>
              </w:rPr>
              <w:t>costs.</w:t>
            </w:r>
          </w:p>
          <w:p w:rsidR="008678AB" w:rsidRDefault="00100A78">
            <w:r>
              <w:rPr>
                <w:rFonts w:ascii="Arial" w:hAnsi="Arial" w:cs="Arial"/>
                <w:color w:val="000000"/>
              </w:rPr>
              <w:t xml:space="preserve">Dr Perry said a recent exercise of returned medicines from patients added up to </w:t>
            </w:r>
            <w:r w:rsidR="007D7F4D">
              <w:rPr>
                <w:rFonts w:ascii="Arial" w:hAnsi="Arial" w:cs="Arial"/>
                <w:color w:val="000000"/>
              </w:rPr>
              <w:t>many thousands of pounds.</w:t>
            </w:r>
          </w:p>
          <w:p w:rsidR="008678AB" w:rsidRDefault="00100A78">
            <w:r>
              <w:rPr>
                <w:rFonts w:ascii="Arial" w:hAnsi="Arial" w:cs="Arial"/>
                <w:color w:val="000000"/>
              </w:rPr>
              <w:t>Carol Sweetland agreed we should tell patients how much their medication cost</w:t>
            </w:r>
            <w:r w:rsidR="006056B8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8678AB" w:rsidRDefault="00100A78">
            <w:r>
              <w:rPr>
                <w:rFonts w:ascii="Arial" w:hAnsi="Arial" w:cs="Arial"/>
                <w:color w:val="000000"/>
              </w:rPr>
              <w:t>All agreed that missing appointments cost should</w:t>
            </w:r>
            <w:r w:rsidR="006056B8">
              <w:rPr>
                <w:rFonts w:ascii="Arial" w:hAnsi="Arial" w:cs="Arial"/>
                <w:color w:val="000000"/>
              </w:rPr>
              <w:t xml:space="preserve"> also</w:t>
            </w:r>
            <w:r>
              <w:rPr>
                <w:rFonts w:ascii="Arial" w:hAnsi="Arial" w:cs="Arial"/>
                <w:color w:val="000000"/>
              </w:rPr>
              <w:t xml:space="preserve"> be </w:t>
            </w:r>
            <w:r w:rsidR="006056B8">
              <w:rPr>
                <w:rFonts w:ascii="Arial" w:hAnsi="Arial" w:cs="Arial"/>
                <w:color w:val="000000"/>
              </w:rPr>
              <w:t>indicated</w:t>
            </w:r>
            <w:r>
              <w:rPr>
                <w:rFonts w:ascii="Arial" w:hAnsi="Arial" w:cs="Arial"/>
                <w:color w:val="000000"/>
              </w:rPr>
              <w:t xml:space="preserve"> to our patients.</w:t>
            </w:r>
            <w:r w:rsidR="006056B8">
              <w:rPr>
                <w:rFonts w:ascii="Arial" w:hAnsi="Arial" w:cs="Arial"/>
                <w:color w:val="000000"/>
              </w:rPr>
              <w:t xml:space="preserve"> Possibly via the surgery screen and social media posts.</w:t>
            </w: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>Dr Perry</w:t>
            </w:r>
            <w:r w:rsidR="006056B8">
              <w:rPr>
                <w:rFonts w:ascii="Arial" w:hAnsi="Arial" w:cs="Arial"/>
                <w:color w:val="000000"/>
              </w:rPr>
              <w:t xml:space="preserve"> has been</w:t>
            </w:r>
            <w:r>
              <w:rPr>
                <w:rFonts w:ascii="Arial" w:hAnsi="Arial" w:cs="Arial"/>
                <w:color w:val="000000"/>
              </w:rPr>
              <w:t xml:space="preserve"> lookin</w:t>
            </w:r>
            <w:r w:rsidR="006056B8">
              <w:rPr>
                <w:rFonts w:ascii="Arial" w:hAnsi="Arial" w:cs="Arial"/>
                <w:color w:val="000000"/>
              </w:rPr>
              <w:t>g at other PPGs and their roles;</w:t>
            </w:r>
            <w:r>
              <w:rPr>
                <w:rFonts w:ascii="Arial" w:hAnsi="Arial" w:cs="Arial"/>
                <w:color w:val="000000"/>
              </w:rPr>
              <w:t xml:space="preserve"> some offer additional services, organising telephone supp</w:t>
            </w:r>
            <w:r w:rsidR="006056B8">
              <w:rPr>
                <w:rFonts w:ascii="Arial" w:hAnsi="Arial" w:cs="Arial"/>
                <w:color w:val="000000"/>
              </w:rPr>
              <w:t>ort services and transportation.</w:t>
            </w:r>
            <w:r>
              <w:rPr>
                <w:rFonts w:ascii="Arial" w:hAnsi="Arial" w:cs="Arial"/>
                <w:color w:val="000000"/>
              </w:rPr>
              <w:t xml:space="preserve"> All agreed that patient transportation was not a role for the PPG as it required additional insurance and manual handling training and was a high risk to all concerned.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The group discussed that signposting and raising awareness of </w:t>
            </w:r>
            <w:r w:rsidR="006056B8">
              <w:rPr>
                <w:rFonts w:ascii="Arial" w:hAnsi="Arial" w:cs="Arial"/>
                <w:color w:val="000000"/>
              </w:rPr>
              <w:t xml:space="preserve">local </w:t>
            </w:r>
            <w:r>
              <w:rPr>
                <w:rFonts w:ascii="Arial" w:hAnsi="Arial" w:cs="Arial"/>
                <w:color w:val="000000"/>
              </w:rPr>
              <w:t xml:space="preserve">services would be helpful. </w:t>
            </w:r>
            <w:r w:rsidR="006056B8">
              <w:rPr>
                <w:rFonts w:ascii="Arial" w:hAnsi="Arial" w:cs="Arial"/>
                <w:color w:val="000000"/>
              </w:rPr>
              <w:t>All a</w:t>
            </w:r>
            <w:r>
              <w:rPr>
                <w:rFonts w:ascii="Arial" w:hAnsi="Arial" w:cs="Arial"/>
                <w:color w:val="000000"/>
              </w:rPr>
              <w:t>greed to send a list</w:t>
            </w:r>
            <w:r w:rsidR="00265CB7">
              <w:rPr>
                <w:rFonts w:ascii="Arial" w:hAnsi="Arial" w:cs="Arial"/>
                <w:color w:val="000000"/>
              </w:rPr>
              <w:t xml:space="preserve"> of ideas</w:t>
            </w:r>
            <w:r>
              <w:rPr>
                <w:rFonts w:ascii="Arial" w:hAnsi="Arial" w:cs="Arial"/>
                <w:color w:val="000000"/>
              </w:rPr>
              <w:t xml:space="preserve"> to LP</w:t>
            </w:r>
            <w:r w:rsidR="006056B8">
              <w:rPr>
                <w:rFonts w:ascii="Arial" w:hAnsi="Arial" w:cs="Arial"/>
                <w:color w:val="000000"/>
              </w:rPr>
              <w:t xml:space="preserve"> and LP would liaise with the Community Navigator.</w:t>
            </w:r>
            <w:bookmarkStart w:id="1" w:name="_GoBack"/>
            <w:bookmarkEnd w:id="1"/>
          </w:p>
          <w:p w:rsidR="008678AB" w:rsidRDefault="006056B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The </w:t>
            </w:r>
            <w:r w:rsidR="00100A78">
              <w:rPr>
                <w:rFonts w:ascii="Arial" w:hAnsi="Arial" w:cs="Arial"/>
                <w:color w:val="000000"/>
              </w:rPr>
              <w:t>Communi</w:t>
            </w:r>
            <w:r>
              <w:rPr>
                <w:rFonts w:ascii="Arial" w:hAnsi="Arial" w:cs="Arial"/>
                <w:color w:val="000000"/>
              </w:rPr>
              <w:t>ty Navigator/Social Prescriber w</w:t>
            </w:r>
            <w:r w:rsidR="00100A78">
              <w:rPr>
                <w:rFonts w:ascii="Arial" w:hAnsi="Arial" w:cs="Arial"/>
                <w:color w:val="000000"/>
              </w:rPr>
              <w:t>ould be a co</w:t>
            </w:r>
            <w:r>
              <w:rPr>
                <w:rFonts w:ascii="Arial" w:hAnsi="Arial" w:cs="Arial"/>
                <w:color w:val="000000"/>
              </w:rPr>
              <w:t>-ordinating</w:t>
            </w:r>
            <w:r w:rsidR="00100A78">
              <w:rPr>
                <w:rFonts w:ascii="Arial" w:hAnsi="Arial" w:cs="Arial"/>
                <w:color w:val="000000"/>
              </w:rPr>
              <w:t xml:space="preserve"> resource </w:t>
            </w:r>
            <w:r>
              <w:rPr>
                <w:rFonts w:ascii="Arial" w:hAnsi="Arial" w:cs="Arial"/>
                <w:color w:val="000000"/>
              </w:rPr>
              <w:t>for these services</w:t>
            </w:r>
            <w:r w:rsidR="00100A78">
              <w:rPr>
                <w:rFonts w:ascii="Arial" w:hAnsi="Arial" w:cs="Arial"/>
                <w:color w:val="000000"/>
              </w:rPr>
              <w:t>.</w:t>
            </w:r>
          </w:p>
          <w:p w:rsidR="008678AB" w:rsidRDefault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 xml:space="preserve">LP </w:t>
            </w:r>
            <w:r w:rsidR="006056B8">
              <w:rPr>
                <w:rFonts w:ascii="Arial" w:hAnsi="Arial" w:cs="Arial"/>
                <w:color w:val="000000"/>
              </w:rPr>
              <w:t>will liaise with RBK as required.</w:t>
            </w:r>
          </w:p>
          <w:p w:rsidR="008678AB" w:rsidRDefault="00100A78" w:rsidP="00100A78">
            <w:pPr>
              <w:spacing w:after="120"/>
            </w:pPr>
            <w:r>
              <w:rPr>
                <w:rFonts w:ascii="Arial" w:hAnsi="Arial" w:cs="Arial"/>
                <w:color w:val="000000"/>
              </w:rPr>
              <w:t>PPG Chair, Vice Chair and Secretary agreed to continue in their roles as no A.G.M this year.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100A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RSK</w:t>
            </w: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100A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RSK</w:t>
            </w: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100A7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ALL</w:t>
            </w: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8678AB" w:rsidRDefault="008678AB">
            <w:pPr>
              <w:rPr>
                <w:rFonts w:ascii="Arial" w:hAnsi="Arial" w:cs="Arial"/>
                <w:color w:val="000000"/>
              </w:rPr>
            </w:pPr>
          </w:p>
          <w:p w:rsidR="006056B8" w:rsidRDefault="006056B8" w:rsidP="006056B8">
            <w:pPr>
              <w:rPr>
                <w:rFonts w:ascii="Arial" w:hAnsi="Arial" w:cs="Arial"/>
                <w:color w:val="000000"/>
              </w:rPr>
            </w:pPr>
          </w:p>
          <w:p w:rsidR="006056B8" w:rsidRDefault="006056B8" w:rsidP="006056B8">
            <w:pPr>
              <w:rPr>
                <w:rFonts w:ascii="Arial" w:hAnsi="Arial" w:cs="Arial"/>
                <w:color w:val="000000"/>
              </w:rPr>
            </w:pPr>
          </w:p>
          <w:p w:rsidR="008678AB" w:rsidRDefault="00100A78" w:rsidP="006056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LP/</w:t>
            </w:r>
            <w:r w:rsidR="006056B8">
              <w:rPr>
                <w:rFonts w:ascii="Arial" w:hAnsi="Arial" w:cs="Arial"/>
                <w:color w:val="000000"/>
              </w:rPr>
              <w:t>ComNav</w:t>
            </w:r>
          </w:p>
        </w:tc>
      </w:tr>
      <w:tr w:rsidR="008678AB"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r>
              <w:rPr>
                <w:rFonts w:ascii="Arial" w:hAnsi="Arial" w:cs="Arial"/>
              </w:rPr>
              <w:t>7.</w:t>
            </w:r>
          </w:p>
        </w:tc>
        <w:tc>
          <w:tcPr>
            <w:tcW w:w="8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100A78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Date of next meeting:</w:t>
            </w:r>
          </w:p>
          <w:p w:rsidR="008678AB" w:rsidRDefault="00100A78">
            <w:pPr>
              <w:tabs>
                <w:tab w:val="left" w:pos="5270"/>
              </w:tabs>
            </w:pPr>
            <w:r>
              <w:rPr>
                <w:rFonts w:ascii="Arial" w:hAnsi="Arial" w:cs="Arial"/>
                <w:b/>
                <w:bCs/>
                <w:color w:val="000000"/>
              </w:rPr>
              <w:t>Thursday 25</w:t>
            </w:r>
            <w:r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November 4.30pm, by video</w:t>
            </w:r>
          </w:p>
          <w:p w:rsidR="008678AB" w:rsidRDefault="008678AB">
            <w:pPr>
              <w:tabs>
                <w:tab w:val="left" w:pos="527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8AB" w:rsidRDefault="008678AB">
            <w:pPr>
              <w:rPr>
                <w:rFonts w:ascii="Arial" w:hAnsi="Arial" w:cs="Arial"/>
              </w:rPr>
            </w:pPr>
          </w:p>
        </w:tc>
      </w:tr>
    </w:tbl>
    <w:p w:rsidR="008678AB" w:rsidRDefault="008678AB"/>
    <w:sectPr w:rsidR="008678AB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AB"/>
    <w:rsid w:val="0006097A"/>
    <w:rsid w:val="00100A78"/>
    <w:rsid w:val="001E166E"/>
    <w:rsid w:val="001E2C36"/>
    <w:rsid w:val="00225CB2"/>
    <w:rsid w:val="0026314F"/>
    <w:rsid w:val="00265CB7"/>
    <w:rsid w:val="002D2D9A"/>
    <w:rsid w:val="00412528"/>
    <w:rsid w:val="006056B8"/>
    <w:rsid w:val="007D7F4D"/>
    <w:rsid w:val="007F444C"/>
    <w:rsid w:val="008416F6"/>
    <w:rsid w:val="008678AB"/>
    <w:rsid w:val="00921977"/>
    <w:rsid w:val="00972C6A"/>
    <w:rsid w:val="00AB7B0F"/>
    <w:rsid w:val="00B057CF"/>
    <w:rsid w:val="00B213EE"/>
    <w:rsid w:val="00D00011"/>
    <w:rsid w:val="00D4537E"/>
    <w:rsid w:val="00E0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eastAsia="Times New Roman" w:hAnsi="Arial" w:cs="Arial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Arial"/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Arial"/>
      <w:b w:val="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  <w:b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velopeReturn">
    <w:name w:val="envelope return"/>
    <w:basedOn w:val="Normal"/>
    <w:qFormat/>
    <w:rPr>
      <w:rFonts w:ascii="Calibri" w:eastAsia="Calibri" w:hAnsi="Calibri" w:cs="Tahoma"/>
      <w:sz w:val="20"/>
      <w:szCs w:val="20"/>
      <w:lang w:eastAsia="en-US"/>
    </w:rPr>
  </w:style>
  <w:style w:type="paragraph" w:styleId="EnvelopeAddress">
    <w:name w:val="envelope address"/>
    <w:basedOn w:val="Normal"/>
    <w:qFormat/>
    <w:pPr>
      <w:ind w:left="2880"/>
    </w:pPr>
    <w:rPr>
      <w:rFonts w:ascii="Trebuchet MS" w:eastAsia="Calibri" w:hAnsi="Trebuchet MS" w:cs="Tahoma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Arial" w:eastAsia="Times New Roman" w:hAnsi="Arial" w:cs="Arial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Arial" w:hAnsi="Arial" w:cs="Arial"/>
      <w:b w:val="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Arial"/>
      <w:b w:val="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  <w:b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  <w:b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EnvelopeReturn">
    <w:name w:val="envelope return"/>
    <w:basedOn w:val="Normal"/>
    <w:qFormat/>
    <w:rPr>
      <w:rFonts w:ascii="Calibri" w:eastAsia="Calibri" w:hAnsi="Calibri" w:cs="Tahoma"/>
      <w:sz w:val="20"/>
      <w:szCs w:val="20"/>
      <w:lang w:eastAsia="en-US"/>
    </w:rPr>
  </w:style>
  <w:style w:type="paragraph" w:styleId="EnvelopeAddress">
    <w:name w:val="envelope address"/>
    <w:basedOn w:val="Normal"/>
    <w:qFormat/>
    <w:pPr>
      <w:ind w:left="2880"/>
    </w:pPr>
    <w:rPr>
      <w:rFonts w:ascii="Trebuchet MS" w:eastAsia="Calibri" w:hAnsi="Trebuchet MS" w:cs="Tahoma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 Newman</dc:creator>
  <cp:lastModifiedBy>Linda Pugsley</cp:lastModifiedBy>
  <cp:revision>12</cp:revision>
  <cp:lastPrinted>2021-01-14T09:28:00Z</cp:lastPrinted>
  <dcterms:created xsi:type="dcterms:W3CDTF">2021-10-02T19:10:00Z</dcterms:created>
  <dcterms:modified xsi:type="dcterms:W3CDTF">2021-10-02T20:21:00Z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